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1AF7EE" w:rsidR="00AB0852" w:rsidRPr="009C0A94" w:rsidRDefault="0044327C" w:rsidP="00F164AA">
            <w:pPr>
              <w:jc w:val="center"/>
              <w:rPr>
                <w:b/>
                <w:sz w:val="20"/>
                <w:szCs w:val="20"/>
                <w:lang w:val="en-US"/>
              </w:rPr>
            </w:pPr>
            <w:r w:rsidRPr="0044327C">
              <w:rPr>
                <w:b/>
                <w:sz w:val="22"/>
                <w:lang w:val="en-US"/>
              </w:rPr>
              <w:t>Practice of Simultaneous Interpreting [97900]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405704C" w:rsidR="00441994" w:rsidRPr="008D1485" w:rsidRDefault="008D148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E7A5C6F" w:rsidR="00AB0852" w:rsidRPr="0044327C" w:rsidRDefault="008D1485" w:rsidP="00D86DF1">
            <w:pPr>
              <w:jc w:val="center"/>
              <w:rPr>
                <w:sz w:val="20"/>
                <w:szCs w:val="20"/>
                <w:lang w:val="en-US"/>
              </w:rPr>
            </w:pPr>
            <w:r>
              <w:rPr>
                <w:sz w:val="20"/>
                <w:szCs w:val="20"/>
                <w:lang w:val="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6A84958" w:rsidR="00AB0852" w:rsidRPr="0044327C" w:rsidRDefault="008D1485" w:rsidP="00D86DF1">
            <w:pPr>
              <w:jc w:val="center"/>
              <w:rPr>
                <w:sz w:val="20"/>
                <w:szCs w:val="20"/>
                <w:lang w:val="en-US"/>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FB21876" w:rsidR="00AB0852" w:rsidRPr="0044327C" w:rsidRDefault="008D1485"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2DEFEC4"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2F65CD">
              <w:rPr>
                <w:sz w:val="20"/>
                <w:szCs w:val="20"/>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5162EB9"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25FD6">
              <w:rPr>
                <w:bCs/>
                <w:sz w:val="20"/>
                <w:szCs w:val="20"/>
                <w:lang w:val="en-US"/>
              </w:rPr>
              <w:t>10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1078E5" w:rsidR="005511C2" w:rsidRPr="009C0A94" w:rsidRDefault="00AD0D0E" w:rsidP="005511C2">
            <w:pPr>
              <w:rPr>
                <w:b/>
                <w:sz w:val="20"/>
                <w:szCs w:val="20"/>
              </w:rPr>
            </w:pPr>
            <w:r w:rsidRPr="00AD0D0E">
              <w:rPr>
                <w:sz w:val="20"/>
                <w:szCs w:val="20"/>
              </w:rPr>
              <w:t>Practice of consecutive interpreting</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bookmarkStart w:id="0" w:name="OLE_LINK2"/>
            <w:bookmarkStart w:id="1" w:name="OLE_LINK3"/>
            <w:r>
              <w:rPr>
                <w:rFonts w:ascii="Times New Roman" w:eastAsiaTheme="minorHAnsi" w:hAnsi="Times New Roman"/>
                <w:sz w:val="20"/>
                <w:szCs w:val="20"/>
                <w:lang w:val="en-US"/>
              </w:rPr>
              <w:t xml:space="preserve">Gile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bookmarkEnd w:id="0"/>
          <w:bookmarkEnd w:id="1"/>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lastRenderedPageBreak/>
              <w:t xml:space="preserve">Braun, S. Remote interpreting. In H. Mikkelson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bookmarkStart w:id="2" w:name="OLE_LINK4"/>
            <w:bookmarkStart w:id="3" w:name="OLE_LINK5"/>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bookmarkEnd w:id="2"/>
          <w:bookmarkEnd w:id="3"/>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 xml:space="preserve">of Al-Farabi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lang w:val="en-US"/>
              </w:rPr>
              <w:t xml:space="preserve">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r>
              <w:fldChar w:fldCharType="begin"/>
            </w:r>
            <w:r>
              <w:instrText>HYPERLINK "https://univer.kaznu.kz/Content/instructions/%D0%9F%D1%80%D0%B0%D0%B2%D0%B8%D0%BB%D0%B0%20%D0%BF%D1%80%D0%BE%D0%B2%D0%B5%D0%B4%D0%B5%D0%BD%D0%B8%D1%8F%20%D0%B8%D1%82%D0%BE%D0%B3%D0%BE%D0%B2%D0%BE%D0%B3%D0%BE%20%D0%BA%D0%BE%D0%BD%D1%82%D1%80%D0%BE%D0%BB%D1%8F%20%D0%9B%D0%AD%D0%A1%202022-2023%20%D1%83%D1%87%D0%B3%D0%BE%D0%B4%20%D1%80%D1%83%D1%81%D1%8F%D0%B7%D1%8B%D0%BA%D0%B5.pdf"</w:instrText>
            </w:r>
            <w:r>
              <w:fldChar w:fldCharType="separate"/>
            </w:r>
            <w:r w:rsidRPr="00281828">
              <w:rPr>
                <w:rStyle w:val="Hyperlink"/>
                <w:sz w:val="20"/>
                <w:szCs w:val="20"/>
                <w:u w:val="single"/>
              </w:rPr>
              <w:t xml:space="preserve">the "Rules for the final control" </w:t>
            </w:r>
            <w:r>
              <w:rPr>
                <w:rStyle w:val="Hyperlink"/>
                <w:sz w:val="20"/>
                <w:szCs w:val="20"/>
                <w:u w:val="single"/>
              </w:rPr>
              <w:fldChar w:fldCharType="end"/>
            </w:r>
            <w:r w:rsidRPr="00281828">
              <w:rPr>
                <w:sz w:val="20"/>
                <w:szCs w:val="20"/>
                <w:u w:val="single"/>
              </w:rPr>
              <w:t xml:space="preserve">, </w:t>
            </w:r>
            <w:r>
              <w:fldChar w:fldCharType="begin"/>
            </w:r>
            <w:r>
              <w:instrText>HYPERLINK "https://univer.kaznu.kz/Content/instructions/%D0%98%D0%BD%D1%81%D1%82%D1%80%D1%83%D0%BA%D1%86%D0%B8%D1%8F%20%D0%B4%D0%BB%D1%8F%20%D0%B8%D1%82%D0%BE%D0%B3%D0%BE%D0%B2%D0%BE%D0%B3%D0%BE%20%D0%BA%D0%BE%D0%BD%D1%82%D1%80%D0%BE%D0%BB%D1%8F%20%D0%B2%D0%B5%D1%81%D0%B5%D0%BD%D0%BD%D0%B5%D0%B3%D0%BE%20%D1%81%D0%B5%D0%BC%D0%B5%D1%81%D1%82%D1%80%D0%B0%202022-2023.pdf"</w:instrText>
            </w:r>
            <w:r>
              <w:fldChar w:fldCharType="separate"/>
            </w:r>
            <w:r w:rsidRPr="00281828">
              <w:rPr>
                <w:rStyle w:val="Hyperlink"/>
                <w:sz w:val="20"/>
                <w:szCs w:val="20"/>
                <w:u w:val="single"/>
              </w:rPr>
              <w:t xml:space="preserve">"Instructions for the final control of the autumn / spring semester of the current academic year" </w:t>
            </w:r>
            <w:r>
              <w:rPr>
                <w:rStyle w:val="Hyperlink"/>
                <w:sz w:val="20"/>
                <w:szCs w:val="20"/>
                <w:u w:val="single"/>
              </w:rPr>
              <w:fldChar w:fldCharType="end"/>
            </w:r>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lang w:val="en-US"/>
              </w:rPr>
              <w:t xml:space="preserve">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r w:rsidR="00ED13B6" w:rsidRPr="00ED13B6">
              <w:rPr>
                <w:iCs/>
                <w:sz w:val="20"/>
                <w:szCs w:val="20"/>
              </w:rPr>
              <w:t>JqFMXa</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2ED91FCC"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147531">
              <w:rPr>
                <w:sz w:val="20"/>
                <w:szCs w:val="20"/>
                <w:lang w:val="en-US"/>
              </w:rPr>
              <w:t>Basics of mental training of simultaneous interpreters</w:t>
            </w:r>
          </w:p>
        </w:tc>
        <w:tc>
          <w:tcPr>
            <w:tcW w:w="928" w:type="dxa"/>
            <w:shd w:val="clear" w:color="auto" w:fill="auto"/>
          </w:tcPr>
          <w:p w14:paraId="1FC6CB41" w14:textId="119F9158" w:rsidR="00877B36" w:rsidRPr="007950CC" w:rsidRDefault="00877B36" w:rsidP="00877B36">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22478C27" w:rsidR="00877B36" w:rsidRDefault="00877B36"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13D6213E"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4" w:name="_Hlk82183020"/>
            <w:r w:rsidR="0022100C" w:rsidRPr="00C9198D">
              <w:rPr>
                <w:b/>
                <w:sz w:val="20"/>
                <w:szCs w:val="20"/>
                <w:lang w:val="en-US"/>
              </w:rPr>
              <w:t>Synchrony of listening and speaking</w:t>
            </w:r>
            <w:bookmarkEnd w:id="4"/>
          </w:p>
        </w:tc>
        <w:tc>
          <w:tcPr>
            <w:tcW w:w="928" w:type="dxa"/>
            <w:shd w:val="clear" w:color="auto" w:fill="auto"/>
          </w:tcPr>
          <w:p w14:paraId="5CB823C0" w14:textId="63EA2125" w:rsidR="008642A4" w:rsidRPr="007950CC" w:rsidRDefault="008667FB"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18DB2B7C" w:rsidR="00AF12D5" w:rsidRDefault="00AF12D5"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59989944"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0446773B" w:rsidR="00AF12D5" w:rsidRPr="007950CC" w:rsidRDefault="00AF12D5" w:rsidP="00AF12D5">
            <w:pPr>
              <w:tabs>
                <w:tab w:val="left" w:pos="1276"/>
              </w:tabs>
              <w:rPr>
                <w:sz w:val="20"/>
                <w:szCs w:val="20"/>
              </w:rPr>
            </w:pPr>
            <w:r>
              <w:rPr>
                <w:sz w:val="20"/>
                <w:szCs w:val="20"/>
              </w:rPr>
              <w:t xml:space="preserve">      </w:t>
            </w:r>
            <w:r w:rsidR="00B8458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282100DF" w:rsidR="00AF12D5" w:rsidRDefault="00AF12D5"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40CE85CE" w:rsidR="00AF12D5" w:rsidRDefault="00B8458A" w:rsidP="00AF12D5">
            <w:pPr>
              <w:tabs>
                <w:tab w:val="left" w:pos="1276"/>
              </w:tabs>
              <w:jc w:val="center"/>
              <w:rPr>
                <w:sz w:val="20"/>
                <w:szCs w:val="20"/>
              </w:rPr>
            </w:pPr>
            <w:r>
              <w:rPr>
                <w:sz w:val="20"/>
                <w:szCs w:val="20"/>
              </w:rPr>
              <w:t>3</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7EEE33F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3BB07F29"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282420D" w:rsidR="00D2325C" w:rsidRDefault="00D2325C"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66DB4923"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796F8770"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2100C">
              <w:rPr>
                <w:bCs/>
                <w:sz w:val="20"/>
                <w:szCs w:val="20"/>
                <w:lang w:val="en-US"/>
              </w:rPr>
              <w:t xml:space="preserve">Model Efforts </w:t>
            </w:r>
          </w:p>
        </w:tc>
        <w:tc>
          <w:tcPr>
            <w:tcW w:w="928" w:type="dxa"/>
            <w:shd w:val="clear" w:color="auto" w:fill="auto"/>
          </w:tcPr>
          <w:p w14:paraId="71D44693" w14:textId="0EBB2BFC" w:rsidR="00D2325C" w:rsidRPr="007950CC" w:rsidRDefault="00B8458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57E4354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514498E2"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489B159F" w:rsidR="002F7F65" w:rsidRPr="00F07F3A" w:rsidRDefault="00EE27E2" w:rsidP="00EE27E2">
            <w:pPr>
              <w:tabs>
                <w:tab w:val="left" w:pos="1276"/>
              </w:tabs>
              <w:rPr>
                <w:b/>
                <w:bCs/>
                <w:sz w:val="20"/>
                <w:szCs w:val="20"/>
              </w:rPr>
            </w:pPr>
            <w:r>
              <w:rPr>
                <w:b/>
                <w:bCs/>
                <w:sz w:val="20"/>
                <w:szCs w:val="20"/>
                <w:lang w:val="en-US"/>
              </w:rPr>
              <w:t>Lecture 6</w:t>
            </w:r>
            <w:r w:rsidR="008667FB">
              <w:rPr>
                <w:b/>
                <w:bCs/>
                <w:sz w:val="20"/>
                <w:szCs w:val="20"/>
                <w:lang w:val="en-US"/>
              </w:rPr>
              <w:t xml:space="preserve"> </w:t>
            </w:r>
            <w:r w:rsidR="0022100C">
              <w:rPr>
                <w:b/>
                <w:bCs/>
                <w:sz w:val="20"/>
                <w:szCs w:val="20"/>
                <w:lang w:val="en-US"/>
              </w:rPr>
              <w:t xml:space="preserve">Formats and protocols of official meetings </w:t>
            </w:r>
            <w:r w:rsidR="00F07F3A" w:rsidRPr="00F07F3A">
              <w:rPr>
                <w:b/>
                <w:bCs/>
                <w:i/>
                <w:iCs/>
                <w:sz w:val="20"/>
                <w:szCs w:val="20"/>
              </w:rPr>
              <w:t xml:space="preserve"> </w:t>
            </w:r>
          </w:p>
        </w:tc>
        <w:tc>
          <w:tcPr>
            <w:tcW w:w="928" w:type="dxa"/>
            <w:shd w:val="clear" w:color="auto" w:fill="auto"/>
          </w:tcPr>
          <w:p w14:paraId="651B0E0A" w14:textId="44F98723"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5F414CD" w:rsidR="00A4606F" w:rsidRDefault="00A4606F"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A424B9A"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4AFEF5E" w:rsidR="008642A4" w:rsidRPr="00F07F3A" w:rsidRDefault="00EE27E2" w:rsidP="008667FB">
            <w:pPr>
              <w:tabs>
                <w:tab w:val="left" w:pos="1276"/>
              </w:tabs>
              <w:rPr>
                <w:bCs/>
                <w:sz w:val="20"/>
                <w:szCs w:val="20"/>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2100C" w:rsidRPr="00C9198D">
              <w:rPr>
                <w:b/>
                <w:sz w:val="20"/>
                <w:szCs w:val="20"/>
                <w:lang w:val="en-US"/>
              </w:rPr>
              <w:t>Speech redundancy</w:t>
            </w:r>
          </w:p>
        </w:tc>
        <w:tc>
          <w:tcPr>
            <w:tcW w:w="928" w:type="dxa"/>
            <w:shd w:val="clear" w:color="auto" w:fill="auto"/>
          </w:tcPr>
          <w:p w14:paraId="537C9AB2" w14:textId="718424AC" w:rsidR="00877B36" w:rsidRPr="007950CC" w:rsidRDefault="00B8458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C9795F9"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0353850D"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6D0F7D"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2100C" w:rsidRPr="00C9198D">
              <w:rPr>
                <w:b/>
                <w:sz w:val="20"/>
                <w:szCs w:val="20"/>
                <w:lang w:val="en-US"/>
              </w:rPr>
              <w:t>Loss and gain in translation</w:t>
            </w:r>
          </w:p>
        </w:tc>
        <w:tc>
          <w:tcPr>
            <w:tcW w:w="928" w:type="dxa"/>
            <w:shd w:val="clear" w:color="auto" w:fill="auto"/>
          </w:tcPr>
          <w:p w14:paraId="582E7679" w14:textId="1D75E9B4" w:rsidR="00080FF0" w:rsidRDefault="00B8458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30A02926" w:rsidR="000932C5" w:rsidRDefault="000932C5"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63C68BA7" w:rsidR="000932C5" w:rsidRDefault="00B8458A" w:rsidP="00080FF0">
            <w:pPr>
              <w:tabs>
                <w:tab w:val="left" w:pos="1276"/>
              </w:tabs>
              <w:jc w:val="center"/>
              <w:rPr>
                <w:sz w:val="20"/>
                <w:szCs w:val="20"/>
              </w:rPr>
            </w:pPr>
            <w:r>
              <w:rPr>
                <w:sz w:val="20"/>
                <w:szCs w:val="20"/>
              </w:rPr>
              <w:t>3</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650DFBF4"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398A9A0B" w:rsidR="00B43A2C"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0E46D15D"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7CDB9B67" w:rsidR="000932C5"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981E57">
              <w:rPr>
                <w:sz w:val="20"/>
                <w:szCs w:val="20"/>
                <w:lang w:val="en-US"/>
              </w:rPr>
              <w:t>Schools and Associations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0F2D2A72"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7C7E038B" w:rsidR="005D33B3" w:rsidRPr="005D33B3"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380AD46" w:rsidR="005D33B3" w:rsidRDefault="005D33B3"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7CD24912" w:rsidR="005D33B3"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0FCF023"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981E57" w:rsidRPr="00147531">
              <w:rPr>
                <w:sz w:val="20"/>
                <w:szCs w:val="20"/>
              </w:rPr>
              <w:t>Strategies in SI</w:t>
            </w:r>
            <w:r w:rsidR="00981E57">
              <w:rPr>
                <w:b/>
                <w:bCs/>
                <w:sz w:val="20"/>
                <w:szCs w:val="20"/>
              </w:rPr>
              <w:t xml:space="preserve"> </w:t>
            </w:r>
            <w:r w:rsidR="00981E57">
              <w:rPr>
                <w:b/>
                <w:sz w:val="20"/>
                <w:szCs w:val="20"/>
                <w:lang w:val="en-US"/>
              </w:rPr>
              <w:t xml:space="preserve"> </w:t>
            </w:r>
          </w:p>
        </w:tc>
        <w:tc>
          <w:tcPr>
            <w:tcW w:w="928" w:type="dxa"/>
            <w:shd w:val="clear" w:color="auto" w:fill="auto"/>
          </w:tcPr>
          <w:p w14:paraId="167CA1BA" w14:textId="7C7A237E" w:rsidR="00DB68C0" w:rsidRPr="007950CC" w:rsidRDefault="00B8458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293C28F"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36D815C2" w:rsidR="002701EE"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1B4C0195" w:rsidR="003D7631" w:rsidRPr="003D7631" w:rsidRDefault="003D7631"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2B977B3B" w:rsidR="003D7631" w:rsidRPr="003D7631" w:rsidRDefault="00B8458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D8B3801" w:rsidR="003D7631" w:rsidRDefault="003D7631"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6D5F467F" w:rsidR="003D7631"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570377B7"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interpretation</w:t>
            </w:r>
          </w:p>
        </w:tc>
        <w:tc>
          <w:tcPr>
            <w:tcW w:w="928" w:type="dxa"/>
            <w:shd w:val="clear" w:color="auto" w:fill="auto"/>
          </w:tcPr>
          <w:p w14:paraId="3B502940" w14:textId="23668773"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1021BAC4" w:rsidR="003D7631" w:rsidRDefault="003D7631"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E8F8AC9"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1590A0FA"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981E57">
              <w:rPr>
                <w:bCs/>
                <w:sz w:val="20"/>
                <w:szCs w:val="20"/>
                <w:lang w:val="en-US"/>
              </w:rPr>
              <w:t>Note taking in SI</w:t>
            </w:r>
          </w:p>
        </w:tc>
        <w:tc>
          <w:tcPr>
            <w:tcW w:w="928" w:type="dxa"/>
            <w:shd w:val="clear" w:color="auto" w:fill="auto"/>
          </w:tcPr>
          <w:p w14:paraId="714D747A" w14:textId="44246A27" w:rsidR="003D7631" w:rsidRPr="003D7631" w:rsidRDefault="00B8458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B1481B2"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Practicing compression</w:t>
            </w:r>
          </w:p>
        </w:tc>
        <w:tc>
          <w:tcPr>
            <w:tcW w:w="928" w:type="dxa"/>
            <w:shd w:val="clear" w:color="auto" w:fill="auto"/>
          </w:tcPr>
          <w:p w14:paraId="5C8DE29A" w14:textId="2E28D8E7"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169E18F1"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5" w:name="_Hlk82284347"/>
            <w:bookmarkStart w:id="6" w:name="OLE_LINK1"/>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5"/>
            <w:bookmarkEnd w:id="6"/>
            <w:proofErr w:type="spellEnd"/>
          </w:p>
        </w:tc>
        <w:tc>
          <w:tcPr>
            <w:tcW w:w="928" w:type="dxa"/>
            <w:shd w:val="clear" w:color="auto" w:fill="auto"/>
          </w:tcPr>
          <w:p w14:paraId="4349AE46" w14:textId="12C44C5C" w:rsidR="00941A7A" w:rsidRPr="007950CC" w:rsidRDefault="00B8458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1CC057D1" w:rsidR="006566BD" w:rsidRDefault="006566BD"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Practicing decompression</w:t>
            </w:r>
          </w:p>
        </w:tc>
        <w:tc>
          <w:tcPr>
            <w:tcW w:w="928" w:type="dxa"/>
            <w:shd w:val="clear" w:color="auto" w:fill="auto"/>
          </w:tcPr>
          <w:p w14:paraId="1C77A9AE" w14:textId="41ED1923" w:rsidR="006566BD"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9F5B1B6"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r w:rsidR="005E5B9A">
              <w:rPr>
                <w:b/>
                <w:sz w:val="20"/>
                <w:szCs w:val="20"/>
              </w:rPr>
              <w:t xml:space="preserve"> </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p w14:paraId="3CA07E09" w14:textId="77777777" w:rsidR="00EC228D" w:rsidRPr="003F2DC5" w:rsidRDefault="00EC228D">
      <w:pPr>
        <w:jc w:val="both"/>
        <w:rPr>
          <w:sz w:val="20"/>
          <w:szCs w:val="20"/>
        </w:rPr>
      </w:pPr>
    </w:p>
    <w:p w14:paraId="17C897FD" w14:textId="77777777" w:rsidR="00EC228D" w:rsidRDefault="00EC228D" w:rsidP="00EC228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Pr>
          <w:b/>
          <w:sz w:val="22"/>
          <w:lang w:val="en-US"/>
        </w:rPr>
        <w:t>Delovarova</w:t>
      </w:r>
      <w:proofErr w:type="spellEnd"/>
      <w:r>
        <w:rPr>
          <w:b/>
          <w:sz w:val="22"/>
          <w:lang w:val="en-US"/>
        </w:rPr>
        <w:t xml:space="preserve"> L.F.</w:t>
      </w:r>
    </w:p>
    <w:p w14:paraId="057B8C05" w14:textId="77777777" w:rsidR="00EC228D" w:rsidRDefault="00EC228D" w:rsidP="00EC228D">
      <w:pPr>
        <w:tabs>
          <w:tab w:val="left" w:pos="1276"/>
        </w:tabs>
        <w:jc w:val="both"/>
        <w:rPr>
          <w:b/>
          <w:sz w:val="22"/>
          <w:lang w:val="en-US"/>
        </w:rPr>
      </w:pPr>
    </w:p>
    <w:p w14:paraId="6FB75DC0" w14:textId="77777777" w:rsidR="00EC228D" w:rsidRPr="003447FD" w:rsidRDefault="00EC228D" w:rsidP="00EC228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689488F5" w14:textId="77777777" w:rsidR="00EC228D" w:rsidRPr="004711B5" w:rsidRDefault="00EC228D" w:rsidP="00EC228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255702BC" w14:textId="77777777" w:rsidR="00EC228D" w:rsidRPr="004711B5" w:rsidRDefault="00EC228D" w:rsidP="00EC228D">
      <w:pPr>
        <w:tabs>
          <w:tab w:val="left" w:pos="1276"/>
        </w:tabs>
        <w:jc w:val="both"/>
        <w:rPr>
          <w:b/>
          <w:sz w:val="22"/>
          <w:lang w:val="en-US"/>
        </w:rPr>
      </w:pPr>
    </w:p>
    <w:p w14:paraId="1610B713" w14:textId="77777777" w:rsidR="00EC228D" w:rsidRPr="004711B5" w:rsidRDefault="00EC228D" w:rsidP="00EC228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Pr>
          <w:b/>
          <w:sz w:val="22"/>
          <w:lang w:val="en-US"/>
        </w:rPr>
        <w:t>Seidikenova</w:t>
      </w:r>
      <w:proofErr w:type="spellEnd"/>
      <w:r>
        <w:rPr>
          <w:b/>
          <w:sz w:val="22"/>
          <w:lang w:val="en-US"/>
        </w:rPr>
        <w:t xml:space="preserve"> A.S.</w:t>
      </w:r>
    </w:p>
    <w:p w14:paraId="1A4C000A" w14:textId="77777777" w:rsidR="00EC228D" w:rsidRPr="004711B5" w:rsidRDefault="00EC228D" w:rsidP="00EC228D">
      <w:pPr>
        <w:tabs>
          <w:tab w:val="left" w:pos="1276"/>
        </w:tabs>
        <w:jc w:val="both"/>
        <w:rPr>
          <w:b/>
          <w:sz w:val="22"/>
          <w:lang w:val="en-US"/>
        </w:rPr>
      </w:pPr>
    </w:p>
    <w:p w14:paraId="70AA3295" w14:textId="77777777" w:rsidR="00EC228D" w:rsidRPr="004711B5" w:rsidRDefault="00EC228D" w:rsidP="00EC228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Pr>
          <w:b/>
          <w:sz w:val="22"/>
          <w:lang w:val="en-US"/>
        </w:rPr>
        <w:t>Bekova</w:t>
      </w:r>
      <w:proofErr w:type="spellEnd"/>
      <w:r>
        <w:rPr>
          <w:b/>
          <w:sz w:val="22"/>
          <w:lang w:val="en-US"/>
        </w:rPr>
        <w:t xml:space="preserve"> Zh.K.</w:t>
      </w:r>
    </w:p>
    <w:p w14:paraId="34F3521A" w14:textId="77777777" w:rsidR="00B94D83" w:rsidRDefault="00B94D83" w:rsidP="00345A90">
      <w:pPr>
        <w:jc w:val="both"/>
        <w:rPr>
          <w:b/>
          <w:lang w:val="en-US"/>
        </w:rPr>
      </w:pPr>
    </w:p>
    <w:p w14:paraId="4CFAB6C8" w14:textId="77777777" w:rsidR="00B94D83" w:rsidRDefault="00B94D83" w:rsidP="00345A90">
      <w:pPr>
        <w:jc w:val="both"/>
        <w:rPr>
          <w:b/>
          <w:lang w:val="en-US"/>
        </w:rPr>
      </w:pPr>
    </w:p>
    <w:p w14:paraId="2B0DA769" w14:textId="77777777" w:rsidR="00B94D83" w:rsidRDefault="00B94D83" w:rsidP="00345A90">
      <w:pPr>
        <w:jc w:val="both"/>
        <w:rPr>
          <w:b/>
          <w:lang w:val="en-US"/>
        </w:rPr>
      </w:pPr>
    </w:p>
    <w:p w14:paraId="2A577C05" w14:textId="77777777" w:rsidR="00B94D83" w:rsidRDefault="00B94D83" w:rsidP="00345A90">
      <w:pPr>
        <w:jc w:val="both"/>
        <w:rPr>
          <w:b/>
          <w:lang w:val="en-US"/>
        </w:rPr>
      </w:pPr>
    </w:p>
    <w:p w14:paraId="488563B1" w14:textId="77777777" w:rsidR="00B94D83" w:rsidRDefault="00B94D83" w:rsidP="00345A90">
      <w:pPr>
        <w:jc w:val="both"/>
        <w:rPr>
          <w:b/>
          <w:lang w:val="en-US"/>
        </w:rPr>
      </w:pPr>
    </w:p>
    <w:p w14:paraId="196EC65F" w14:textId="77777777" w:rsidR="00B94D83" w:rsidRDefault="00B94D83" w:rsidP="00345A90">
      <w:pPr>
        <w:jc w:val="both"/>
        <w:rPr>
          <w:b/>
          <w:lang w:val="en-US"/>
        </w:rPr>
      </w:pPr>
    </w:p>
    <w:p w14:paraId="70B0A125" w14:textId="77777777" w:rsidR="00B94D83" w:rsidRDefault="00B94D83" w:rsidP="00345A90">
      <w:pPr>
        <w:jc w:val="both"/>
        <w:rPr>
          <w:b/>
          <w:lang w:val="en-US"/>
        </w:rPr>
      </w:pPr>
    </w:p>
    <w:p w14:paraId="2F80112D" w14:textId="77777777" w:rsidR="00B94D83" w:rsidRDefault="00B94D83" w:rsidP="00345A90">
      <w:pPr>
        <w:jc w:val="both"/>
        <w:rPr>
          <w:b/>
          <w:lang w:val="en-US"/>
        </w:rPr>
      </w:pPr>
    </w:p>
    <w:p w14:paraId="5EEB4A7B" w14:textId="77777777" w:rsidR="00B94D83" w:rsidRDefault="00B94D83" w:rsidP="00345A90">
      <w:pPr>
        <w:jc w:val="both"/>
        <w:rPr>
          <w:b/>
          <w:lang w:val="en-US"/>
        </w:rPr>
      </w:pPr>
    </w:p>
    <w:p w14:paraId="0FD76276" w14:textId="77777777" w:rsidR="00B94D83" w:rsidRDefault="00B94D83" w:rsidP="00345A90">
      <w:pPr>
        <w:jc w:val="both"/>
        <w:rPr>
          <w:b/>
          <w:lang w:val="en-US"/>
        </w:rPr>
      </w:pPr>
    </w:p>
    <w:p w14:paraId="0C198BA2" w14:textId="77777777" w:rsidR="00B94D83" w:rsidRDefault="00B94D83" w:rsidP="00345A90">
      <w:pPr>
        <w:jc w:val="both"/>
        <w:rPr>
          <w:b/>
          <w:lang w:val="en-US"/>
        </w:rPr>
      </w:pPr>
    </w:p>
    <w:p w14:paraId="03CD4EA7" w14:textId="77777777" w:rsidR="00B94D83" w:rsidRDefault="00B94D83" w:rsidP="00345A90">
      <w:pPr>
        <w:jc w:val="both"/>
        <w:rPr>
          <w:b/>
          <w:lang w:val="en-US"/>
        </w:rPr>
      </w:pPr>
    </w:p>
    <w:p w14:paraId="001EBDD9" w14:textId="77777777" w:rsidR="00B94D83" w:rsidRDefault="00B94D83" w:rsidP="00B94D83">
      <w:pPr>
        <w:pStyle w:val="paragraph"/>
        <w:spacing w:before="0" w:beforeAutospacing="0" w:after="0" w:afterAutospacing="0"/>
        <w:jc w:val="center"/>
        <w:textAlignment w:val="baseline"/>
        <w:rPr>
          <w:rStyle w:val="normaltextrun"/>
          <w:b/>
          <w:bCs/>
          <w:sz w:val="20"/>
          <w:szCs w:val="20"/>
        </w:rPr>
      </w:pPr>
    </w:p>
    <w:p w14:paraId="6FA49589" w14:textId="324AF17B" w:rsidR="00B94D83" w:rsidRDefault="00B94D83" w:rsidP="00B94D83">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8098F46"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41CA367D" w14:textId="37D11C97" w:rsidR="00B94D83" w:rsidRPr="00260D51" w:rsidRDefault="00B94D83" w:rsidP="00B94D83">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w:t>
      </w:r>
      <w:r w:rsidRPr="00B94D83">
        <w:rPr>
          <w:b/>
          <w:bCs/>
          <w:sz w:val="20"/>
          <w:szCs w:val="20"/>
          <w:lang w:val="en-US"/>
        </w:rPr>
        <w:t>Mistranslations</w:t>
      </w:r>
      <w:r>
        <w:rPr>
          <w:b/>
          <w:bCs/>
          <w:sz w:val="20"/>
          <w:szCs w:val="20"/>
          <w:lang w:val="en-US"/>
        </w:rPr>
        <w:t>”, “</w:t>
      </w:r>
      <w:r w:rsidRPr="00B94D83">
        <w:rPr>
          <w:b/>
          <w:bCs/>
          <w:sz w:val="20"/>
          <w:szCs w:val="20"/>
          <w:lang w:val="en-US"/>
        </w:rPr>
        <w:t>Schools and Associations</w:t>
      </w:r>
      <w:r>
        <w:rPr>
          <w:b/>
          <w:bCs/>
          <w:sz w:val="20"/>
          <w:szCs w:val="20"/>
          <w:lang w:val="en-US"/>
        </w:rPr>
        <w:t xml:space="preserve">” </w:t>
      </w:r>
      <w:r w:rsidRPr="00260D51">
        <w:rPr>
          <w:rStyle w:val="normaltextrun"/>
          <w:b/>
          <w:bCs/>
          <w:sz w:val="20"/>
          <w:szCs w:val="20"/>
        </w:rPr>
        <w:t>(30% of 100% RK)</w:t>
      </w:r>
    </w:p>
    <w:p w14:paraId="05992CE2" w14:textId="77777777" w:rsidR="00B94D83" w:rsidRDefault="00B94D83" w:rsidP="00B94D83">
      <w:pPr>
        <w:pStyle w:val="paragraph"/>
        <w:spacing w:before="0" w:beforeAutospacing="0" w:after="0" w:afterAutospacing="0"/>
        <w:textAlignment w:val="baseline"/>
        <w:rPr>
          <w:b/>
          <w:bCs/>
          <w:sz w:val="16"/>
          <w:szCs w:val="16"/>
          <w:lang w:val="en-US"/>
        </w:rPr>
      </w:pPr>
    </w:p>
    <w:p w14:paraId="605B9AEA"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2A9E6396" w14:textId="77777777" w:rsidR="00B94D83" w:rsidRDefault="00B94D83" w:rsidP="00B94D83">
      <w:pPr>
        <w:pStyle w:val="paragraph"/>
        <w:spacing w:before="0" w:beforeAutospacing="0" w:after="0" w:afterAutospacing="0"/>
        <w:textAlignment w:val="baseline"/>
        <w:rPr>
          <w:b/>
          <w:lang w:val="en-US"/>
        </w:rPr>
      </w:pPr>
    </w:p>
    <w:p w14:paraId="195F3036" w14:textId="77777777" w:rsidR="00B94D83" w:rsidRPr="00260D51" w:rsidRDefault="00B94D83" w:rsidP="00B94D83">
      <w:pPr>
        <w:pStyle w:val="paragraph"/>
        <w:spacing w:before="0" w:beforeAutospacing="0" w:after="0" w:afterAutospacing="0"/>
        <w:jc w:val="center"/>
        <w:textAlignment w:val="baseline"/>
        <w:rPr>
          <w:rStyle w:val="normaltextrun"/>
          <w:sz w:val="16"/>
          <w:szCs w:val="16"/>
        </w:rPr>
      </w:pPr>
    </w:p>
    <w:p w14:paraId="73C93C5D" w14:textId="77777777" w:rsidR="00B94D83" w:rsidRPr="00260D51" w:rsidRDefault="00B94D83" w:rsidP="00B94D83">
      <w:pPr>
        <w:pStyle w:val="paragraph"/>
        <w:spacing w:before="0" w:beforeAutospacing="0" w:after="0" w:afterAutospacing="0"/>
        <w:jc w:val="center"/>
        <w:textAlignment w:val="baseline"/>
        <w:rPr>
          <w:rStyle w:val="normaltextrun"/>
          <w:b/>
          <w:bCs/>
          <w:sz w:val="16"/>
          <w:szCs w:val="16"/>
        </w:rPr>
      </w:pPr>
    </w:p>
    <w:p w14:paraId="0A1DB732" w14:textId="77777777" w:rsidR="00B94D83" w:rsidRPr="00260D51" w:rsidRDefault="00B94D83" w:rsidP="00B94D83">
      <w:pPr>
        <w:jc w:val="both"/>
        <w:rPr>
          <w:b/>
        </w:rPr>
      </w:pPr>
    </w:p>
    <w:p w14:paraId="3109B2EF" w14:textId="77777777" w:rsidR="00B94D83" w:rsidRPr="00260D51" w:rsidRDefault="00B94D83" w:rsidP="00B94D83">
      <w:pPr>
        <w:jc w:val="both"/>
        <w:rPr>
          <w:b/>
        </w:rPr>
      </w:pPr>
    </w:p>
    <w:p w14:paraId="5C225663" w14:textId="77777777" w:rsidR="00B94D83" w:rsidRDefault="00B94D83" w:rsidP="00B94D83">
      <w:pPr>
        <w:jc w:val="both"/>
        <w:rPr>
          <w:b/>
          <w:lang w:val="en-US"/>
        </w:rPr>
      </w:pPr>
    </w:p>
    <w:p w14:paraId="2C58EC75" w14:textId="77777777" w:rsidR="00B94D83" w:rsidRPr="00F76949" w:rsidRDefault="00B94D83" w:rsidP="00B94D83">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B94D83" w:rsidRPr="00105272" w14:paraId="49FF6F4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40BD5"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6E79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"Excellent" </w:t>
            </w:r>
          </w:p>
          <w:p w14:paraId="1B1F2CFA"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0D313D"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"Good" </w:t>
            </w:r>
          </w:p>
          <w:p w14:paraId="1326BBE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035ABB"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"Satisfactory" </w:t>
            </w:r>
          </w:p>
          <w:p w14:paraId="2BBC96E8"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611C7"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"Unsatisfactory" </w:t>
            </w:r>
          </w:p>
          <w:p w14:paraId="0714F4C9" w14:textId="77777777" w:rsidR="00B94D83" w:rsidRPr="00105272" w:rsidRDefault="00B94D83" w:rsidP="00C908F5">
            <w:pPr>
              <w:pStyle w:val="paragraph"/>
              <w:spacing w:before="0" w:beforeAutospacing="0" w:after="0" w:afterAutospacing="0"/>
              <w:jc w:val="center"/>
              <w:textAlignment w:val="baseline"/>
              <w:rPr>
                <w:sz w:val="20"/>
                <w:szCs w:val="20"/>
              </w:rPr>
            </w:pPr>
            <w:r w:rsidRPr="00105272">
              <w:rPr>
                <w:rStyle w:val="normaltextrun"/>
                <w:color w:val="000000"/>
                <w:sz w:val="20"/>
                <w:szCs w:val="20"/>
              </w:rPr>
              <w:t>0 – 15%</w:t>
            </w:r>
          </w:p>
        </w:tc>
      </w:tr>
      <w:tr w:rsidR="00B94D83" w:rsidRPr="00105272" w14:paraId="123FBBD3"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75DC439" w14:textId="0CDFB1A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and concepts of </w:t>
            </w:r>
            <w:r w:rsidRPr="00105272">
              <w:rPr>
                <w:sz w:val="20"/>
                <w:szCs w:val="20"/>
                <w:lang w:val="en-US"/>
              </w:rPr>
              <w:t>mistranslations</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33DA417" w14:textId="5B3C0C33"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Deep understanding of theories, concepts of t</w:t>
            </w:r>
            <w:r w:rsidRPr="00105272">
              <w:rPr>
                <w:sz w:val="20"/>
                <w:szCs w:val="20"/>
                <w:lang w:val="en-US"/>
              </w:rPr>
              <w:t xml:space="preserve"> mistranslations.</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ECCB09E" w14:textId="44C19B2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concepts of </w:t>
            </w:r>
            <w:r w:rsidRPr="00105272">
              <w:rPr>
                <w:sz w:val="20"/>
                <w:szCs w:val="20"/>
                <w:lang w:val="en-US"/>
              </w:rPr>
              <w:t>mistranslations.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DA061F5" w14:textId="561E7CC1"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understanding of theories, concepts of </w:t>
            </w:r>
            <w:r w:rsidRPr="00105272">
              <w:rPr>
                <w:sz w:val="20"/>
                <w:szCs w:val="20"/>
                <w:lang w:val="en-US"/>
              </w:rPr>
              <w:t xml:space="preserve">mistranslations.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CDAD590" w14:textId="7F6E92D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Superficial understanding / lack of understanding of theories, concepts of </w:t>
            </w:r>
            <w:r w:rsidRPr="00105272">
              <w:rPr>
                <w:sz w:val="20"/>
                <w:szCs w:val="20"/>
                <w:lang w:val="en-US"/>
              </w:rPr>
              <w:t xml:space="preserve">mistranslations. </w:t>
            </w:r>
          </w:p>
        </w:tc>
      </w:tr>
      <w:tr w:rsidR="00B94D83" w:rsidRPr="00105272" w14:paraId="36CCEE72"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2153E35" w14:textId="24A27144"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Awareness of key </w:t>
            </w:r>
            <w:proofErr w:type="gramStart"/>
            <w:r w:rsidRPr="00105272">
              <w:rPr>
                <w:rStyle w:val="normaltextrun"/>
                <w:sz w:val="20"/>
                <w:szCs w:val="20"/>
              </w:rPr>
              <w:t xml:space="preserve">issues </w:t>
            </w:r>
            <w:r w:rsidRPr="00105272">
              <w:rPr>
                <w:b/>
                <w:bCs/>
                <w:sz w:val="20"/>
                <w:szCs w:val="20"/>
                <w:lang w:val="en-US" w:eastAsia="en-US"/>
              </w:rPr>
              <w:t xml:space="preserve"> </w:t>
            </w:r>
            <w:r w:rsidRPr="00105272">
              <w:rPr>
                <w:sz w:val="20"/>
                <w:szCs w:val="20"/>
                <w:lang w:val="en-US"/>
              </w:rPr>
              <w:t>mistranslations</w:t>
            </w:r>
            <w:proofErr w:type="gramEnd"/>
            <w:r w:rsidRPr="00105272">
              <w:rPr>
                <w:sz w:val="20"/>
                <w:szCs w:val="20"/>
              </w:rPr>
              <w:t xml:space="preserve">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40045B3" w14:textId="72439301"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 xml:space="preserve">Competent correlation of the key concepts </w:t>
            </w:r>
            <w:proofErr w:type="gramStart"/>
            <w:r w:rsidRPr="00105272">
              <w:rPr>
                <w:rStyle w:val="normaltextrun"/>
                <w:sz w:val="20"/>
                <w:szCs w:val="20"/>
              </w:rPr>
              <w:t xml:space="preserve">of </w:t>
            </w:r>
            <w:r w:rsidRPr="00105272">
              <w:rPr>
                <w:sz w:val="20"/>
                <w:szCs w:val="20"/>
                <w:lang w:val="en-US"/>
              </w:rPr>
              <w:t xml:space="preserve"> mistranslations</w:t>
            </w:r>
            <w:proofErr w:type="gramEnd"/>
            <w:r w:rsidRPr="00105272">
              <w:rPr>
                <w:sz w:val="20"/>
                <w:szCs w:val="20"/>
              </w:rPr>
              <w:t xml:space="preserve">. </w:t>
            </w:r>
            <w:r w:rsidRPr="00105272">
              <w:rPr>
                <w:rStyle w:val="normaltextrun"/>
                <w:sz w:val="20"/>
                <w:szCs w:val="20"/>
              </w:rPr>
              <w:t>Excellent substantiation of arguments with evidence from empirical research (for example, based on interviews or statistical analysis).</w:t>
            </w:r>
            <w:r w:rsidRPr="00105272">
              <w:rPr>
                <w:rStyle w:val="eop"/>
                <w:sz w:val="20"/>
                <w:szCs w:val="20"/>
              </w:rPr>
              <w:t> </w:t>
            </w:r>
          </w:p>
          <w:p w14:paraId="497EEB0C"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250C1157" w14:textId="5D2DAFAA"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There is a connection between the concepts of </w:t>
            </w:r>
            <w:r w:rsidRPr="00105272">
              <w:rPr>
                <w:sz w:val="20"/>
                <w:szCs w:val="20"/>
                <w:lang w:val="en-US" w:eastAsia="en-US"/>
              </w:rPr>
              <w:t xml:space="preserve"> </w:t>
            </w:r>
            <w:r w:rsidRPr="00105272">
              <w:rPr>
                <w:sz w:val="20"/>
                <w:szCs w:val="20"/>
                <w:lang w:val="en-US"/>
              </w:rPr>
              <w:t xml:space="preserve"> mistranslations. </w:t>
            </w:r>
            <w:r w:rsidRPr="00105272">
              <w:rPr>
                <w:sz w:val="20"/>
                <w:szCs w:val="20"/>
              </w:rPr>
              <w:t xml:space="preserve"> </w:t>
            </w:r>
            <w:r w:rsidRPr="00105272">
              <w:rPr>
                <w:rStyle w:val="normaltextrun"/>
                <w:sz w:val="20"/>
                <w:szCs w:val="20"/>
              </w:rPr>
              <w:t>The arguments are backed by evidence from empirical research.</w:t>
            </w:r>
            <w:r w:rsidRPr="0010527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5B01F23F" w14:textId="50044E85"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Limited correlation of the professional identity of </w:t>
            </w:r>
            <w:r w:rsidRPr="00105272">
              <w:rPr>
                <w:sz w:val="20"/>
                <w:szCs w:val="20"/>
                <w:lang w:val="en-US"/>
              </w:rPr>
              <w:t>mistranslations</w:t>
            </w:r>
            <w:r w:rsidRPr="00105272">
              <w:rPr>
                <w:sz w:val="20"/>
                <w:szCs w:val="20"/>
              </w:rPr>
              <w:t xml:space="preserve">. </w:t>
            </w:r>
            <w:r w:rsidRPr="00105272">
              <w:rPr>
                <w:rStyle w:val="normaltextrun"/>
                <w:sz w:val="20"/>
                <w:szCs w:val="20"/>
              </w:rPr>
              <w:t>Limited use of evidence from empirical research</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4B74B34" w14:textId="73398ADE"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Insignificant connection / lack of connection between the concepts of </w:t>
            </w:r>
            <w:r w:rsidRPr="00105272">
              <w:rPr>
                <w:sz w:val="20"/>
                <w:szCs w:val="20"/>
                <w:lang w:val="en-US"/>
              </w:rPr>
              <w:t xml:space="preserve">mistranslations. </w:t>
            </w:r>
            <w:r w:rsidRPr="00105272">
              <w:rPr>
                <w:rStyle w:val="normaltextrun"/>
                <w:sz w:val="20"/>
                <w:szCs w:val="20"/>
              </w:rPr>
              <w:t>Little or no empirical research is used.</w:t>
            </w:r>
            <w:r w:rsidRPr="00105272">
              <w:rPr>
                <w:rStyle w:val="eop"/>
                <w:sz w:val="20"/>
                <w:szCs w:val="20"/>
              </w:rPr>
              <w:t> </w:t>
            </w:r>
          </w:p>
        </w:tc>
      </w:tr>
      <w:tr w:rsidR="00B94D83" w:rsidRPr="00105272" w14:paraId="514728C0"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EE45C1C"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Pilot Study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9AE9010" w14:textId="77777777" w:rsidR="00B94D83" w:rsidRPr="00105272" w:rsidRDefault="00B94D83" w:rsidP="00C908F5">
            <w:pPr>
              <w:pStyle w:val="paragraph"/>
              <w:spacing w:before="0" w:beforeAutospacing="0" w:after="0" w:afterAutospacing="0"/>
              <w:textAlignment w:val="baseline"/>
              <w:rPr>
                <w:rStyle w:val="eop"/>
                <w:sz w:val="20"/>
                <w:szCs w:val="20"/>
              </w:rPr>
            </w:pPr>
            <w:r w:rsidRPr="00105272">
              <w:rPr>
                <w:rStyle w:val="normaltextrun"/>
                <w:sz w:val="20"/>
                <w:szCs w:val="20"/>
              </w:rPr>
              <w:t>Excellent use of the results of pilot studies (interviews or surveys) in the presentation</w:t>
            </w:r>
            <w:r w:rsidRPr="00105272">
              <w:rPr>
                <w:rStyle w:val="eop"/>
                <w:sz w:val="20"/>
                <w:szCs w:val="20"/>
              </w:rPr>
              <w:t> </w:t>
            </w:r>
          </w:p>
          <w:p w14:paraId="48D9933F" w14:textId="77777777" w:rsidR="00B94D83" w:rsidRPr="00105272" w:rsidRDefault="00B94D83"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DF2C521"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use of the results of pilot studies (interviews or surveys) in the presentation.</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5817CB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use of the results of pilot studies (interviews or surveys) in the presentation.</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39B8B9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Poor use of the results of pilot studies (interviews or surveys) in the presentation.</w:t>
            </w:r>
            <w:r w:rsidRPr="00105272">
              <w:rPr>
                <w:rStyle w:val="eop"/>
                <w:sz w:val="20"/>
                <w:szCs w:val="20"/>
              </w:rPr>
              <w:t> </w:t>
            </w:r>
          </w:p>
        </w:tc>
      </w:tr>
      <w:tr w:rsidR="00B94D83" w:rsidRPr="00105272" w14:paraId="47036BA1"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1F3221F"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Suggestion of policy or practical recommendations/suggestions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5770C6F8" w14:textId="24CF8963"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Offers very good policy and/or practical advice or suggestions for improving the professional competencies of rendering</w:t>
            </w:r>
            <w:r w:rsidRPr="00105272">
              <w:rPr>
                <w:sz w:val="20"/>
                <w:szCs w:val="20"/>
                <w:lang w:val="en-US"/>
              </w:rPr>
              <w:t xml:space="preserve"> mistranslations.</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1C8DEB6B" w14:textId="31DB081F"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 xml:space="preserve">Offers some policy and/or practical recommendations or suggestions for improving the </w:t>
            </w:r>
            <w:proofErr w:type="gramStart"/>
            <w:r w:rsidRPr="00105272">
              <w:rPr>
                <w:rStyle w:val="normaltextrun"/>
                <w:sz w:val="20"/>
                <w:szCs w:val="20"/>
              </w:rPr>
              <w:t xml:space="preserve">professional </w:t>
            </w:r>
            <w:r w:rsidRPr="00105272">
              <w:rPr>
                <w:rStyle w:val="normaltextrun"/>
                <w:sz w:val="20"/>
                <w:szCs w:val="20"/>
                <w:lang w:val="en-US"/>
              </w:rPr>
              <w:t xml:space="preserve"> competencies</w:t>
            </w:r>
            <w:proofErr w:type="gramEnd"/>
            <w:r w:rsidRPr="00105272">
              <w:rPr>
                <w:rStyle w:val="normaltextrun"/>
                <w:sz w:val="20"/>
                <w:szCs w:val="20"/>
                <w:lang w:val="en-US"/>
              </w:rPr>
              <w:t xml:space="preserve"> of translation</w:t>
            </w:r>
            <w:r w:rsidRPr="00105272">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0B8D1AC0"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Limited policy and practical recommendations. Recommendations are non-essential, not based on rigorous analysis, and are shallow.</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F47F80A"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Little or no policy and practice advice, or advice of very low quality.</w:t>
            </w:r>
            <w:r w:rsidRPr="00105272">
              <w:rPr>
                <w:rStyle w:val="eop"/>
                <w:sz w:val="20"/>
                <w:szCs w:val="20"/>
                <w:lang w:val="en-US"/>
              </w:rPr>
              <w:t> </w:t>
            </w:r>
          </w:p>
        </w:tc>
      </w:tr>
      <w:tr w:rsidR="00B94D83" w:rsidRPr="00105272" w14:paraId="7BF62367"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944CAB7"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Presentation,</w:t>
            </w:r>
            <w:r w:rsidRPr="00105272">
              <w:rPr>
                <w:rStyle w:val="eop"/>
                <w:sz w:val="20"/>
                <w:szCs w:val="20"/>
              </w:rPr>
              <w:t> </w:t>
            </w:r>
          </w:p>
          <w:p w14:paraId="0F21B669"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teamwork </w:t>
            </w:r>
            <w:r w:rsidRPr="0010527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B5F8B26"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Excellent, attractive presentation, excellent quality of visuals, slides, materials, excellent teamwork.</w:t>
            </w:r>
            <w:r w:rsidRPr="0010527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B6A02B4" w14:textId="77777777" w:rsidR="00B94D83" w:rsidRPr="00105272" w:rsidRDefault="00B94D83" w:rsidP="00C908F5">
            <w:pPr>
              <w:pStyle w:val="paragraph"/>
              <w:spacing w:before="0" w:beforeAutospacing="0" w:after="0" w:afterAutospacing="0"/>
              <w:textAlignment w:val="baseline"/>
              <w:rPr>
                <w:sz w:val="20"/>
                <w:szCs w:val="20"/>
                <w:lang w:val="en-US"/>
              </w:rPr>
            </w:pPr>
            <w:r w:rsidRPr="00105272">
              <w:rPr>
                <w:rStyle w:val="normaltextrun"/>
                <w:sz w:val="20"/>
                <w:szCs w:val="20"/>
                <w:lang w:val="en-US"/>
              </w:rPr>
              <w:t>Good engagement, good quality visuals, slides or other materials, good teamwork.</w:t>
            </w:r>
            <w:r w:rsidRPr="0010527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CF67B52"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Satisfactory level of involvement, satisfactory quality of materials, satisfactory level of teamwork.</w:t>
            </w:r>
            <w:r w:rsidRPr="0010527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46E5E104" w14:textId="77777777" w:rsidR="00B94D83" w:rsidRPr="00105272" w:rsidRDefault="00B94D83" w:rsidP="00C908F5">
            <w:pPr>
              <w:pStyle w:val="paragraph"/>
              <w:spacing w:before="0" w:beforeAutospacing="0" w:after="0" w:afterAutospacing="0"/>
              <w:textAlignment w:val="baseline"/>
              <w:rPr>
                <w:sz w:val="20"/>
                <w:szCs w:val="20"/>
              </w:rPr>
            </w:pPr>
            <w:r w:rsidRPr="00105272">
              <w:rPr>
                <w:rStyle w:val="normaltextrun"/>
                <w:sz w:val="20"/>
                <w:szCs w:val="20"/>
              </w:rPr>
              <w:t>Low engagement, low quality content, poor teamwork.</w:t>
            </w:r>
            <w:r w:rsidRPr="00105272">
              <w:rPr>
                <w:rStyle w:val="eop"/>
                <w:sz w:val="20"/>
                <w:szCs w:val="20"/>
              </w:rPr>
              <w:t> </w:t>
            </w:r>
          </w:p>
        </w:tc>
      </w:tr>
    </w:tbl>
    <w:p w14:paraId="4F3CEEDE" w14:textId="77777777" w:rsidR="00B94D83" w:rsidRPr="00B94D83" w:rsidRDefault="00B94D83" w:rsidP="00345A90">
      <w:pPr>
        <w:jc w:val="both"/>
        <w:rPr>
          <w:b/>
        </w:rPr>
      </w:pPr>
    </w:p>
    <w:sectPr w:rsidR="00B94D83" w:rsidRPr="00B94D83"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711C3" w14:textId="77777777" w:rsidR="00663882" w:rsidRDefault="00663882" w:rsidP="004C6A23">
      <w:r>
        <w:separator/>
      </w:r>
    </w:p>
  </w:endnote>
  <w:endnote w:type="continuationSeparator" w:id="0">
    <w:p w14:paraId="733CE0B6" w14:textId="77777777" w:rsidR="00663882" w:rsidRDefault="00663882" w:rsidP="004C6A23">
      <w:r>
        <w:continuationSeparator/>
      </w:r>
    </w:p>
  </w:endnote>
  <w:endnote w:type="continuationNotice" w:id="1">
    <w:p w14:paraId="7D114324" w14:textId="77777777" w:rsidR="00663882" w:rsidRDefault="0066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DF15C" w14:textId="77777777" w:rsidR="00663882" w:rsidRDefault="00663882" w:rsidP="004C6A23">
      <w:r>
        <w:separator/>
      </w:r>
    </w:p>
  </w:footnote>
  <w:footnote w:type="continuationSeparator" w:id="0">
    <w:p w14:paraId="6AE84CFD" w14:textId="77777777" w:rsidR="00663882" w:rsidRDefault="00663882" w:rsidP="004C6A23">
      <w:r>
        <w:continuationSeparator/>
      </w:r>
    </w:p>
  </w:footnote>
  <w:footnote w:type="continuationNotice" w:id="1">
    <w:p w14:paraId="2C3CA134" w14:textId="77777777" w:rsidR="00663882" w:rsidRDefault="00663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5272"/>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47531"/>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37AC"/>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599C"/>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65CD"/>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3FD1"/>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5B9A"/>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3882"/>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2A7E"/>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21C4"/>
    <w:rsid w:val="008D1485"/>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A777E"/>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1B35"/>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6D2"/>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16ED"/>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458A"/>
    <w:rsid w:val="00B8539F"/>
    <w:rsid w:val="00B8693A"/>
    <w:rsid w:val="00B94D83"/>
    <w:rsid w:val="00B976AF"/>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28D"/>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3DD9"/>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7A12"/>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31"/>
    <w:rPr>
      <w:lang w:val="en-KZ"/>
    </w:rPr>
  </w:style>
  <w:style w:type="paragraph" w:styleId="Heading1">
    <w:name w:val="heading 1"/>
    <w:basedOn w:val="Normal"/>
    <w:next w:val="Normal"/>
    <w:pPr>
      <w:keepNext/>
      <w:keepLines/>
      <w:spacing w:before="480" w:after="120"/>
      <w:outlineLvl w:val="0"/>
    </w:pPr>
    <w:rPr>
      <w:b/>
      <w:sz w:val="48"/>
      <w:szCs w:val="48"/>
      <w:lang w:val="en"/>
    </w:rPr>
  </w:style>
  <w:style w:type="paragraph" w:styleId="Heading2">
    <w:name w:val="heading 2"/>
    <w:basedOn w:val="Normal"/>
    <w:next w:val="Normal"/>
    <w:pPr>
      <w:keepNext/>
      <w:keepLines/>
      <w:spacing w:before="360" w:after="80"/>
      <w:outlineLvl w:val="1"/>
    </w:pPr>
    <w:rPr>
      <w:b/>
      <w:sz w:val="36"/>
      <w:szCs w:val="36"/>
      <w:lang w:val="en"/>
    </w:rPr>
  </w:style>
  <w:style w:type="paragraph" w:styleId="Heading3">
    <w:name w:val="heading 3"/>
    <w:basedOn w:val="Normal"/>
    <w:next w:val="Normal"/>
    <w:pPr>
      <w:keepNext/>
      <w:keepLines/>
      <w:spacing w:before="280" w:after="80"/>
      <w:outlineLvl w:val="2"/>
    </w:pPr>
    <w:rPr>
      <w:b/>
      <w:sz w:val="28"/>
      <w:szCs w:val="28"/>
      <w:lang w:val="en"/>
    </w:rPr>
  </w:style>
  <w:style w:type="paragraph" w:styleId="Heading4">
    <w:name w:val="heading 4"/>
    <w:basedOn w:val="Normal"/>
    <w:next w:val="Normal"/>
    <w:pPr>
      <w:keepNext/>
      <w:keepLines/>
      <w:spacing w:before="240" w:after="40"/>
      <w:outlineLvl w:val="3"/>
    </w:pPr>
    <w:rPr>
      <w:b/>
      <w:lang w:val="en"/>
    </w:rPr>
  </w:style>
  <w:style w:type="paragraph" w:styleId="Heading5">
    <w:name w:val="heading 5"/>
    <w:basedOn w:val="Normal"/>
    <w:next w:val="Normal"/>
    <w:pPr>
      <w:keepNext/>
      <w:keepLines/>
      <w:spacing w:before="220" w:after="40"/>
      <w:outlineLvl w:val="4"/>
    </w:pPr>
    <w:rPr>
      <w:b/>
      <w:sz w:val="22"/>
      <w:szCs w:val="22"/>
      <w:lang w:val="en"/>
    </w:rPr>
  </w:style>
  <w:style w:type="paragraph" w:styleId="Heading6">
    <w:name w:val="heading 6"/>
    <w:basedOn w:val="Normal"/>
    <w:next w:val="Normal"/>
    <w:pPr>
      <w:keepNext/>
      <w:keepLines/>
      <w:spacing w:before="200" w:after="40"/>
      <w:outlineLvl w:val="5"/>
    </w:pPr>
    <w:rPr>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val="en" w:eastAsia="ru-RU"/>
    </w:rPr>
  </w:style>
  <w:style w:type="paragraph" w:styleId="Title">
    <w:name w:val="Title"/>
    <w:basedOn w:val="Normal"/>
    <w:next w:val="Normal"/>
    <w:pPr>
      <w:keepNext/>
      <w:keepLines/>
      <w:spacing w:before="480" w:after="120"/>
    </w:pPr>
    <w:rPr>
      <w:b/>
      <w:sz w:val="72"/>
      <w:szCs w:val="72"/>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val="en"/>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lang w:val="en"/>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rPr>
      <w:lang w:val="en"/>
    </w:r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rPr>
      <w:lang w:val="en"/>
    </w:r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rPr>
      <w:lang w:val="en"/>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val="en"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rPr>
      <w:lang w:val="en"/>
    </w:r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8103713">
      <w:bodyDiv w:val="1"/>
      <w:marLeft w:val="0"/>
      <w:marRight w:val="0"/>
      <w:marTop w:val="0"/>
      <w:marBottom w:val="0"/>
      <w:divBdr>
        <w:top w:val="none" w:sz="0" w:space="0" w:color="auto"/>
        <w:left w:val="none" w:sz="0" w:space="0" w:color="auto"/>
        <w:bottom w:val="none" w:sz="0" w:space="0" w:color="auto"/>
        <w:right w:val="none" w:sz="0" w:space="0" w:color="auto"/>
      </w:divBdr>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617938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theme" Target="theme/theme1.xm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5</Pages>
  <Words>2861</Words>
  <Characters>16313</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46</cp:revision>
  <cp:lastPrinted>2023-11-12T23:34:00Z</cp:lastPrinted>
  <dcterms:created xsi:type="dcterms:W3CDTF">2023-07-10T04:09:00Z</dcterms:created>
  <dcterms:modified xsi:type="dcterms:W3CDTF">2024-12-05T08:29:00Z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